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7F605" w14:textId="4E161776" w:rsidR="00F17E18" w:rsidRPr="002D5DCA" w:rsidRDefault="00F17E18" w:rsidP="002D5DCA">
      <w:pPr>
        <w:rPr>
          <w:b/>
          <w:sz w:val="24"/>
          <w:szCs w:val="24"/>
        </w:rPr>
      </w:pPr>
      <w:r w:rsidRPr="002D5DCA">
        <w:rPr>
          <w:b/>
          <w:sz w:val="24"/>
          <w:szCs w:val="24"/>
        </w:rPr>
        <w:t xml:space="preserve">Training Offerings – </w:t>
      </w:r>
      <w:r w:rsidR="00710794" w:rsidRPr="002D5DCA">
        <w:rPr>
          <w:b/>
          <w:sz w:val="24"/>
          <w:szCs w:val="24"/>
        </w:rPr>
        <w:t>Research Administration</w:t>
      </w:r>
      <w:r w:rsidRPr="002D5DCA">
        <w:rPr>
          <w:b/>
          <w:sz w:val="24"/>
          <w:szCs w:val="24"/>
        </w:rPr>
        <w:t xml:space="preserve"> for Departmental Staff</w:t>
      </w:r>
    </w:p>
    <w:p w14:paraId="0949EADA" w14:textId="0AE0DE27" w:rsidR="002D5DCA" w:rsidRPr="002D5DCA" w:rsidRDefault="00C65423" w:rsidP="2C9464E1">
      <w:pPr>
        <w:rPr>
          <w:b/>
          <w:bCs/>
          <w:sz w:val="24"/>
          <w:szCs w:val="24"/>
        </w:rPr>
      </w:pPr>
      <w:r>
        <w:rPr>
          <w:b/>
          <w:bCs/>
          <w:sz w:val="24"/>
          <w:szCs w:val="24"/>
        </w:rPr>
        <w:t>Academic Year 2025</w:t>
      </w:r>
    </w:p>
    <w:p w14:paraId="751EFDB8" w14:textId="77777777" w:rsidR="004D6ED5" w:rsidRDefault="004D6ED5" w:rsidP="00F17E18">
      <w:pPr>
        <w:jc w:val="left"/>
        <w:rPr>
          <w:sz w:val="24"/>
          <w:szCs w:val="24"/>
        </w:rPr>
      </w:pPr>
    </w:p>
    <w:p w14:paraId="5D598D58" w14:textId="6CB35471" w:rsidR="2C9464E1" w:rsidRDefault="00DC32C0" w:rsidP="2C9464E1">
      <w:pPr>
        <w:jc w:val="left"/>
        <w:rPr>
          <w:b/>
          <w:bCs/>
        </w:rPr>
      </w:pPr>
      <w:r>
        <w:t>All sessions in autumn AY2</w:t>
      </w:r>
      <w:r w:rsidR="00C17B62">
        <w:t>5</w:t>
      </w:r>
      <w:r w:rsidR="2C9464E1">
        <w:t xml:space="preserve"> will be held via </w:t>
      </w:r>
      <w:proofErr w:type="spellStart"/>
      <w:r w:rsidR="2C9464E1">
        <w:t>CarmenZoom</w:t>
      </w:r>
      <w:proofErr w:type="spellEnd"/>
      <w:r w:rsidR="2C9464E1">
        <w:t xml:space="preserve">. </w:t>
      </w:r>
      <w:r w:rsidR="2C9464E1" w:rsidRPr="2C9464E1">
        <w:rPr>
          <w:b/>
          <w:bCs/>
        </w:rPr>
        <w:t>You MUS</w:t>
      </w:r>
      <w:r w:rsidR="00116C19">
        <w:rPr>
          <w:b/>
          <w:bCs/>
        </w:rPr>
        <w:t>T register in BuckeyeLearn</w:t>
      </w:r>
      <w:r w:rsidR="2C9464E1" w:rsidRPr="2C9464E1">
        <w:rPr>
          <w:b/>
          <w:bCs/>
        </w:rPr>
        <w:t xml:space="preserve">. Zoom links </w:t>
      </w:r>
      <w:r w:rsidR="00FB066F">
        <w:rPr>
          <w:b/>
          <w:bCs/>
        </w:rPr>
        <w:t>will be included as the location for each session in BuckeyeLearn</w:t>
      </w:r>
      <w:r w:rsidR="2C9464E1" w:rsidRPr="2C9464E1">
        <w:rPr>
          <w:b/>
          <w:bCs/>
        </w:rPr>
        <w:t>.</w:t>
      </w:r>
    </w:p>
    <w:p w14:paraId="46BF2BCD" w14:textId="77777777" w:rsidR="002D5DCA" w:rsidRDefault="002D5DCA" w:rsidP="00F17E18">
      <w:pPr>
        <w:jc w:val="left"/>
      </w:pPr>
    </w:p>
    <w:p w14:paraId="10DDAB35" w14:textId="0F34B3EE" w:rsidR="2C9464E1" w:rsidRDefault="00FC5499" w:rsidP="2C9464E1">
      <w:pPr>
        <w:jc w:val="left"/>
      </w:pPr>
      <w:r>
        <w:rPr>
          <w:color w:val="333333"/>
        </w:rPr>
        <w:t xml:space="preserve">This event will be presented with automated closed captions. If you wish to request traditional CART services or other accommodations, please contact </w:t>
      </w:r>
      <w:r w:rsidRPr="2C9464E1">
        <w:rPr>
          <w:rFonts w:ascii="Calibri" w:eastAsia="Calibri" w:hAnsi="Calibri" w:cs="Calibri"/>
        </w:rPr>
        <w:t>Karla Gengler-Nowak at gengler-nowak.1@osu.edu or 614-292-8077</w:t>
      </w:r>
      <w:r>
        <w:rPr>
          <w:color w:val="333333"/>
        </w:rPr>
        <w:t>. Requests made 15 business days prior to the event will generally allow us to provide seamless access, but the university will make every effort to meet requests made after this date.</w:t>
      </w:r>
    </w:p>
    <w:p w14:paraId="2B4665E1" w14:textId="77777777" w:rsidR="002D5DCA" w:rsidRDefault="002D5DCA" w:rsidP="00B11517"/>
    <w:p w14:paraId="63A58EF4" w14:textId="34A2AF8D" w:rsidR="00C91511" w:rsidRDefault="2C9464E1" w:rsidP="00F17E18">
      <w:pPr>
        <w:jc w:val="left"/>
      </w:pPr>
      <w:r>
        <w:t>Dates</w:t>
      </w:r>
      <w:r w:rsidR="00A6778B">
        <w:t xml:space="preserve"> and times </w:t>
      </w:r>
      <w:r>
        <w:t>below are subject to change – B</w:t>
      </w:r>
      <w:bookmarkStart w:id="0" w:name="_GoBack"/>
      <w:bookmarkEnd w:id="0"/>
      <w:r>
        <w:t>uckeyeLearn will inform you of any updates.</w:t>
      </w:r>
    </w:p>
    <w:p w14:paraId="60358212" w14:textId="5DB1FE97" w:rsidR="00A6778B" w:rsidRDefault="00A6778B" w:rsidP="00F17E18">
      <w:pPr>
        <w:jc w:val="left"/>
      </w:pPr>
    </w:p>
    <w:p w14:paraId="2445D50A" w14:textId="77777777" w:rsidR="00F17E18" w:rsidRPr="00CF2065" w:rsidRDefault="00F17E18" w:rsidP="00F17E18">
      <w:pPr>
        <w:jc w:val="left"/>
        <w:rPr>
          <w:b/>
          <w:sz w:val="24"/>
          <w:szCs w:val="24"/>
        </w:rPr>
      </w:pPr>
    </w:p>
    <w:tbl>
      <w:tblPr>
        <w:tblStyle w:val="TableGrid"/>
        <w:tblW w:w="10777" w:type="dxa"/>
        <w:tblInd w:w="108" w:type="dxa"/>
        <w:tblLayout w:type="fixed"/>
        <w:tblLook w:val="04A0" w:firstRow="1" w:lastRow="0" w:firstColumn="1" w:lastColumn="0" w:noHBand="0" w:noVBand="1"/>
        <w:tblCaption w:val="Schedule of trainings"/>
        <w:tblDescription w:val="Dates, times, titles, and descriptions of each training event"/>
      </w:tblPr>
      <w:tblGrid>
        <w:gridCol w:w="1327"/>
        <w:gridCol w:w="900"/>
        <w:gridCol w:w="1890"/>
        <w:gridCol w:w="6660"/>
      </w:tblGrid>
      <w:tr w:rsidR="00EA054E" w:rsidRPr="004C0A4A" w14:paraId="40C28EA2" w14:textId="77777777" w:rsidTr="00F3177F">
        <w:tc>
          <w:tcPr>
            <w:tcW w:w="1327" w:type="dxa"/>
            <w:shd w:val="clear" w:color="auto" w:fill="000000" w:themeFill="text1"/>
            <w:vAlign w:val="center"/>
          </w:tcPr>
          <w:p w14:paraId="40C59434" w14:textId="09B3883E" w:rsidR="00EA054E" w:rsidRPr="004C0A4A" w:rsidRDefault="00EA054E" w:rsidP="00D04627">
            <w:pPr>
              <w:rPr>
                <w:b/>
              </w:rPr>
            </w:pPr>
            <w:r w:rsidRPr="004C0A4A">
              <w:rPr>
                <w:b/>
              </w:rPr>
              <w:t>Date</w:t>
            </w:r>
          </w:p>
        </w:tc>
        <w:tc>
          <w:tcPr>
            <w:tcW w:w="900" w:type="dxa"/>
            <w:shd w:val="clear" w:color="auto" w:fill="000000" w:themeFill="text1"/>
            <w:vAlign w:val="center"/>
          </w:tcPr>
          <w:p w14:paraId="76D36A60" w14:textId="77777777" w:rsidR="00EA054E" w:rsidRPr="004C0A4A" w:rsidRDefault="00EA054E" w:rsidP="00D04627">
            <w:pPr>
              <w:rPr>
                <w:b/>
              </w:rPr>
            </w:pPr>
            <w:r w:rsidRPr="004C0A4A">
              <w:rPr>
                <w:b/>
              </w:rPr>
              <w:t>Time</w:t>
            </w:r>
          </w:p>
        </w:tc>
        <w:tc>
          <w:tcPr>
            <w:tcW w:w="1890" w:type="dxa"/>
            <w:shd w:val="clear" w:color="auto" w:fill="000000" w:themeFill="text1"/>
            <w:vAlign w:val="center"/>
          </w:tcPr>
          <w:p w14:paraId="27A4DCC3" w14:textId="38F8BEC7" w:rsidR="00EA054E" w:rsidRPr="004C0A4A" w:rsidRDefault="00EA054E" w:rsidP="00D04627">
            <w:pPr>
              <w:rPr>
                <w:b/>
              </w:rPr>
            </w:pPr>
            <w:r>
              <w:rPr>
                <w:b/>
              </w:rPr>
              <w:t>Title</w:t>
            </w:r>
          </w:p>
        </w:tc>
        <w:tc>
          <w:tcPr>
            <w:tcW w:w="6660" w:type="dxa"/>
            <w:shd w:val="clear" w:color="auto" w:fill="000000" w:themeFill="text1"/>
            <w:vAlign w:val="center"/>
          </w:tcPr>
          <w:p w14:paraId="7AB5F04A" w14:textId="77777777" w:rsidR="00EA054E" w:rsidRPr="004C0A4A" w:rsidRDefault="00EA054E" w:rsidP="00D04627">
            <w:pPr>
              <w:rPr>
                <w:b/>
              </w:rPr>
            </w:pPr>
            <w:r w:rsidRPr="004C0A4A">
              <w:rPr>
                <w:b/>
              </w:rPr>
              <w:t>Description</w:t>
            </w:r>
          </w:p>
        </w:tc>
      </w:tr>
      <w:tr w:rsidR="00EA054E" w14:paraId="3AED84F6" w14:textId="77777777" w:rsidTr="00F3177F">
        <w:tc>
          <w:tcPr>
            <w:tcW w:w="1327" w:type="dxa"/>
            <w:vAlign w:val="center"/>
          </w:tcPr>
          <w:p w14:paraId="690C89AF" w14:textId="501C5328" w:rsidR="00EA054E" w:rsidRDefault="00807857" w:rsidP="0092759B">
            <w:pPr>
              <w:jc w:val="left"/>
            </w:pPr>
            <w:r>
              <w:t>8/29/24</w:t>
            </w:r>
          </w:p>
        </w:tc>
        <w:tc>
          <w:tcPr>
            <w:tcW w:w="900" w:type="dxa"/>
            <w:vAlign w:val="center"/>
          </w:tcPr>
          <w:p w14:paraId="3C9DEF53" w14:textId="4C762EB2" w:rsidR="00EA054E" w:rsidRPr="00E70E4E" w:rsidRDefault="00807857" w:rsidP="00FB2D33">
            <w:pPr>
              <w:jc w:val="left"/>
            </w:pPr>
            <w:r>
              <w:t>1:00-2:30</w:t>
            </w:r>
          </w:p>
        </w:tc>
        <w:tc>
          <w:tcPr>
            <w:tcW w:w="1890" w:type="dxa"/>
            <w:vAlign w:val="center"/>
          </w:tcPr>
          <w:p w14:paraId="11F3108E" w14:textId="6EC3BFD0" w:rsidR="00EA054E" w:rsidRDefault="00EA054E" w:rsidP="00FB2D33">
            <w:pPr>
              <w:jc w:val="left"/>
            </w:pPr>
            <w:r>
              <w:t xml:space="preserve">The Research Enterprise at Ohio State and Working with PIs </w:t>
            </w:r>
          </w:p>
          <w:p w14:paraId="66A27D87" w14:textId="77777777" w:rsidR="00EA054E" w:rsidRDefault="00EA054E" w:rsidP="00FB2D33">
            <w:pPr>
              <w:jc w:val="left"/>
            </w:pPr>
          </w:p>
          <w:p w14:paraId="34CEE36A" w14:textId="006DAFBD" w:rsidR="00EA054E" w:rsidRPr="00DC32C0" w:rsidRDefault="00EA054E" w:rsidP="00947AE0">
            <w:pPr>
              <w:jc w:val="left"/>
              <w:rPr>
                <w:b/>
              </w:rPr>
            </w:pPr>
          </w:p>
        </w:tc>
        <w:tc>
          <w:tcPr>
            <w:tcW w:w="6660" w:type="dxa"/>
            <w:vAlign w:val="center"/>
          </w:tcPr>
          <w:p w14:paraId="7FF72C73" w14:textId="11BD2A38" w:rsidR="00EA054E" w:rsidRPr="007E42FD" w:rsidRDefault="00EA054E" w:rsidP="002D5DCA">
            <w:pPr>
              <w:jc w:val="left"/>
            </w:pPr>
            <w:r>
              <w:t>Working with OSP</w:t>
            </w:r>
            <w:r w:rsidRPr="007E42FD">
              <w:t>, working with departmental and college partners, available resources, roles and responsibilities of this position and how they work with others, building an effective working relationship with faculty, managing competing interests of being a research facilitator and steward of public funds</w:t>
            </w:r>
            <w:r>
              <w:t>. Learn how research administration fits into the Enterprise Project and how to engage with faculty to ensure a smooth transition to Workday.</w:t>
            </w:r>
          </w:p>
        </w:tc>
      </w:tr>
      <w:tr w:rsidR="00F43FAE" w14:paraId="186C31B0" w14:textId="77777777" w:rsidTr="00F3177F">
        <w:tc>
          <w:tcPr>
            <w:tcW w:w="1327" w:type="dxa"/>
            <w:vAlign w:val="center"/>
          </w:tcPr>
          <w:p w14:paraId="0FEF6B6E" w14:textId="22143E51" w:rsidR="00F43FAE" w:rsidRPr="00F43FAE" w:rsidRDefault="00F33689" w:rsidP="00F43FAE">
            <w:pPr>
              <w:jc w:val="left"/>
            </w:pPr>
            <w:r>
              <w:t>9/9/24</w:t>
            </w:r>
          </w:p>
        </w:tc>
        <w:tc>
          <w:tcPr>
            <w:tcW w:w="900" w:type="dxa"/>
            <w:vAlign w:val="center"/>
          </w:tcPr>
          <w:p w14:paraId="6EF907D7" w14:textId="42FB7E7C" w:rsidR="00F43FAE" w:rsidRPr="00F43FAE" w:rsidRDefault="00F33689" w:rsidP="00F43FAE">
            <w:pPr>
              <w:jc w:val="left"/>
            </w:pPr>
            <w:r>
              <w:t>2:00-3:00</w:t>
            </w:r>
          </w:p>
        </w:tc>
        <w:tc>
          <w:tcPr>
            <w:tcW w:w="1890" w:type="dxa"/>
            <w:vAlign w:val="center"/>
          </w:tcPr>
          <w:p w14:paraId="62AEBBBD" w14:textId="0B318511" w:rsidR="00F43FAE" w:rsidRPr="00F43FAE" w:rsidRDefault="00F43FAE" w:rsidP="00F33689">
            <w:pPr>
              <w:jc w:val="left"/>
            </w:pPr>
            <w:r w:rsidRPr="00F43FAE">
              <w:t>Conversations with Re</w:t>
            </w:r>
            <w:r w:rsidR="00F33689">
              <w:t>search Administration Leaders</w:t>
            </w:r>
          </w:p>
        </w:tc>
        <w:tc>
          <w:tcPr>
            <w:tcW w:w="6660" w:type="dxa"/>
            <w:vAlign w:val="center"/>
          </w:tcPr>
          <w:p w14:paraId="64652C95" w14:textId="0836A1A7" w:rsidR="00F43FAE" w:rsidRPr="00F43FAE" w:rsidRDefault="00F43FAE" w:rsidP="00F33689">
            <w:pPr>
              <w:jc w:val="left"/>
            </w:pPr>
            <w:r w:rsidRPr="00F33689">
              <w:t xml:space="preserve">Peter Mohler, </w:t>
            </w:r>
            <w:r w:rsidR="00A34692" w:rsidRPr="00F33689">
              <w:t>Executive Vice President of Research, Innovation, and Knowledge</w:t>
            </w:r>
            <w:r w:rsidR="00F33689">
              <w:t>, will be joined by</w:t>
            </w:r>
            <w:r w:rsidRPr="00F33689">
              <w:t xml:space="preserve"> Cynthia Carnes, Senior</w:t>
            </w:r>
            <w:r w:rsidRPr="00F43FAE">
              <w:t xml:space="preserve"> Associate Vice President for Research</w:t>
            </w:r>
            <w:r w:rsidR="00F33689">
              <w:t xml:space="preserve"> Operations;</w:t>
            </w:r>
            <w:r w:rsidRPr="00F43FAE">
              <w:t xml:space="preserve"> </w:t>
            </w:r>
            <w:r w:rsidR="00F33689">
              <w:t>Deborah Hernandez, Associate Vice President for Strategic Research Development; and Kevin Taylor, Associate Vice president of Technology Commercialization, to</w:t>
            </w:r>
            <w:r w:rsidRPr="00F43FAE">
              <w:t xml:space="preserve"> discuss the research and knowledge enterprise at OSU and their vision for the future. They will also share updates on the research strategic plan and research infrastructure. </w:t>
            </w:r>
          </w:p>
        </w:tc>
      </w:tr>
      <w:tr w:rsidR="00F43FAE" w14:paraId="4FA9E7CC" w14:textId="77777777" w:rsidTr="00F3177F">
        <w:tc>
          <w:tcPr>
            <w:tcW w:w="1327" w:type="dxa"/>
            <w:vAlign w:val="center"/>
          </w:tcPr>
          <w:p w14:paraId="74308AC0" w14:textId="5EEFD0DC" w:rsidR="00F43FAE" w:rsidRDefault="00807857" w:rsidP="00807857">
            <w:pPr>
              <w:jc w:val="left"/>
            </w:pPr>
            <w:r>
              <w:t>9/24/24</w:t>
            </w:r>
          </w:p>
        </w:tc>
        <w:tc>
          <w:tcPr>
            <w:tcW w:w="900" w:type="dxa"/>
            <w:vAlign w:val="center"/>
          </w:tcPr>
          <w:p w14:paraId="31C596F5" w14:textId="4651B425" w:rsidR="00F43FAE" w:rsidRPr="00223E2C" w:rsidRDefault="00807857" w:rsidP="00C17B62">
            <w:pPr>
              <w:jc w:val="left"/>
            </w:pPr>
            <w:r w:rsidRPr="00223E2C">
              <w:t>9:00-10:30</w:t>
            </w:r>
          </w:p>
        </w:tc>
        <w:tc>
          <w:tcPr>
            <w:tcW w:w="1890" w:type="dxa"/>
            <w:vAlign w:val="center"/>
          </w:tcPr>
          <w:p w14:paraId="043D136B" w14:textId="77777777" w:rsidR="00F43FAE" w:rsidRPr="00223E2C" w:rsidRDefault="00F43FAE" w:rsidP="00F43FAE">
            <w:pPr>
              <w:jc w:val="left"/>
            </w:pPr>
            <w:r w:rsidRPr="00223E2C">
              <w:t>Budgeting on Sponsored Programs Proposals</w:t>
            </w:r>
          </w:p>
        </w:tc>
        <w:tc>
          <w:tcPr>
            <w:tcW w:w="6660" w:type="dxa"/>
            <w:vAlign w:val="center"/>
          </w:tcPr>
          <w:p w14:paraId="361E9E41" w14:textId="77777777" w:rsidR="00F43FAE" w:rsidRPr="007E42FD" w:rsidRDefault="00F43FAE" w:rsidP="00F43FAE">
            <w:pPr>
              <w:jc w:val="left"/>
            </w:pPr>
            <w:r w:rsidRPr="007E42FD">
              <w:t>Budgeting for sponsored programs, particular items of costs, OMB circulars, F&amp;A rates and bases, benefit rates</w:t>
            </w:r>
          </w:p>
        </w:tc>
      </w:tr>
      <w:tr w:rsidR="00966851" w14:paraId="4953DD48" w14:textId="77777777" w:rsidTr="002D0F7C">
        <w:tc>
          <w:tcPr>
            <w:tcW w:w="1327" w:type="dxa"/>
            <w:shd w:val="clear" w:color="auto" w:fill="auto"/>
            <w:vAlign w:val="center"/>
          </w:tcPr>
          <w:p w14:paraId="4DAB3993" w14:textId="752722D7" w:rsidR="00966851" w:rsidRPr="00710794" w:rsidRDefault="00807857" w:rsidP="002D0F7C">
            <w:pPr>
              <w:jc w:val="left"/>
            </w:pPr>
            <w:r>
              <w:t>10/9/24</w:t>
            </w:r>
          </w:p>
        </w:tc>
        <w:tc>
          <w:tcPr>
            <w:tcW w:w="900" w:type="dxa"/>
            <w:vAlign w:val="center"/>
          </w:tcPr>
          <w:p w14:paraId="3CCCA2FB" w14:textId="4E2EA609" w:rsidR="00966851" w:rsidRPr="00CB65F6" w:rsidRDefault="00807857" w:rsidP="002D0F7C">
            <w:pPr>
              <w:jc w:val="left"/>
            </w:pPr>
            <w:r>
              <w:t>9:00-10:30</w:t>
            </w:r>
          </w:p>
        </w:tc>
        <w:tc>
          <w:tcPr>
            <w:tcW w:w="1890" w:type="dxa"/>
            <w:vAlign w:val="center"/>
          </w:tcPr>
          <w:p w14:paraId="11954437" w14:textId="77777777" w:rsidR="00966851" w:rsidRPr="00CB65F6" w:rsidRDefault="00966851" w:rsidP="002D0F7C">
            <w:pPr>
              <w:jc w:val="left"/>
            </w:pPr>
            <w:r>
              <w:t xml:space="preserve">Cost-sharing on Sponsored Programs </w:t>
            </w:r>
          </w:p>
        </w:tc>
        <w:tc>
          <w:tcPr>
            <w:tcW w:w="6660" w:type="dxa"/>
            <w:vAlign w:val="center"/>
          </w:tcPr>
          <w:p w14:paraId="26669AF8" w14:textId="77777777" w:rsidR="00966851" w:rsidRPr="00CB65F6" w:rsidRDefault="00966851" w:rsidP="002D0F7C">
            <w:pPr>
              <w:jc w:val="left"/>
            </w:pPr>
            <w:r w:rsidRPr="00CB65F6">
              <w:t>Review of how to budget cost-sharing in proposals, gain approval from the department and college, and book cost-sharing after an award is made</w:t>
            </w:r>
          </w:p>
        </w:tc>
      </w:tr>
      <w:tr w:rsidR="00966851" w14:paraId="37A52759" w14:textId="77777777" w:rsidTr="00D41CAB">
        <w:tc>
          <w:tcPr>
            <w:tcW w:w="1327" w:type="dxa"/>
            <w:shd w:val="clear" w:color="auto" w:fill="auto"/>
            <w:vAlign w:val="center"/>
          </w:tcPr>
          <w:p w14:paraId="60F7CA45" w14:textId="77777777" w:rsidR="00966851" w:rsidRPr="003713EC" w:rsidRDefault="00807857" w:rsidP="00D41CAB">
            <w:pPr>
              <w:jc w:val="left"/>
            </w:pPr>
            <w:r w:rsidRPr="003713EC">
              <w:t>10/24/2024</w:t>
            </w:r>
          </w:p>
          <w:p w14:paraId="6EFDA8BE" w14:textId="1017C629" w:rsidR="00807857" w:rsidRPr="003713EC" w:rsidRDefault="00807857" w:rsidP="00D41CAB">
            <w:pPr>
              <w:jc w:val="left"/>
            </w:pPr>
          </w:p>
        </w:tc>
        <w:tc>
          <w:tcPr>
            <w:tcW w:w="900" w:type="dxa"/>
            <w:shd w:val="clear" w:color="auto" w:fill="auto"/>
            <w:vAlign w:val="center"/>
          </w:tcPr>
          <w:p w14:paraId="143F79BC" w14:textId="3C71B5FA" w:rsidR="00966851" w:rsidRPr="003713EC" w:rsidRDefault="00807857" w:rsidP="00D41CAB">
            <w:pPr>
              <w:jc w:val="left"/>
            </w:pPr>
            <w:r w:rsidRPr="003713EC">
              <w:t>1:00-2:30</w:t>
            </w:r>
          </w:p>
        </w:tc>
        <w:tc>
          <w:tcPr>
            <w:tcW w:w="1890" w:type="dxa"/>
            <w:shd w:val="clear" w:color="auto" w:fill="auto"/>
            <w:vAlign w:val="center"/>
          </w:tcPr>
          <w:p w14:paraId="622DECBF" w14:textId="77777777" w:rsidR="00966851" w:rsidRPr="003713EC" w:rsidRDefault="00966851" w:rsidP="00D41CAB">
            <w:pPr>
              <w:jc w:val="left"/>
            </w:pPr>
            <w:r w:rsidRPr="003713EC">
              <w:t>Building Proposals 101</w:t>
            </w:r>
          </w:p>
        </w:tc>
        <w:tc>
          <w:tcPr>
            <w:tcW w:w="6660" w:type="dxa"/>
            <w:shd w:val="clear" w:color="auto" w:fill="auto"/>
            <w:vAlign w:val="center"/>
          </w:tcPr>
          <w:p w14:paraId="16E05838" w14:textId="77777777" w:rsidR="00966851" w:rsidRDefault="00966851" w:rsidP="00D41CAB">
            <w:pPr>
              <w:jc w:val="left"/>
            </w:pPr>
            <w:r w:rsidRPr="000D4A81">
              <w:t>Overview of the proposal process, from initiation to submission, covering the general steps through submission. We will discuss identifying the correct sponsor guidelines, internal policies, building the proposal, the review process, and best practices for the submission timeline of a standard submission. Both external and internal funding will be discussed.</w:t>
            </w:r>
          </w:p>
        </w:tc>
      </w:tr>
      <w:tr w:rsidR="00F43FAE" w14:paraId="5579C4B7" w14:textId="77777777" w:rsidTr="00374C26">
        <w:tc>
          <w:tcPr>
            <w:tcW w:w="1327" w:type="dxa"/>
            <w:shd w:val="clear" w:color="auto" w:fill="auto"/>
            <w:vAlign w:val="center"/>
          </w:tcPr>
          <w:p w14:paraId="1F1289FF" w14:textId="2D0C7ECA" w:rsidR="00F43FAE" w:rsidRPr="006D703D" w:rsidRDefault="00E502EF" w:rsidP="00F43FAE">
            <w:pPr>
              <w:jc w:val="left"/>
            </w:pPr>
            <w:r>
              <w:t>11/7/24</w:t>
            </w:r>
          </w:p>
        </w:tc>
        <w:tc>
          <w:tcPr>
            <w:tcW w:w="900" w:type="dxa"/>
            <w:shd w:val="clear" w:color="auto" w:fill="auto"/>
            <w:vAlign w:val="center"/>
          </w:tcPr>
          <w:p w14:paraId="2544C8D1" w14:textId="1A15D585" w:rsidR="00F43FAE" w:rsidRPr="006D703D" w:rsidRDefault="00E502EF" w:rsidP="00F43FAE">
            <w:pPr>
              <w:jc w:val="left"/>
            </w:pPr>
            <w:r>
              <w:t>1:00-2:00</w:t>
            </w:r>
          </w:p>
        </w:tc>
        <w:tc>
          <w:tcPr>
            <w:tcW w:w="1890" w:type="dxa"/>
            <w:shd w:val="clear" w:color="auto" w:fill="auto"/>
            <w:vAlign w:val="center"/>
          </w:tcPr>
          <w:p w14:paraId="5AD8B0D9" w14:textId="7B90EBC3" w:rsidR="00F43FAE" w:rsidRPr="00AA72DB" w:rsidRDefault="00A76B91" w:rsidP="00F43FAE">
            <w:pPr>
              <w:jc w:val="left"/>
            </w:pPr>
            <w:r>
              <w:t>Appointing P</w:t>
            </w:r>
            <w:r w:rsidR="00340CAD">
              <w:t>ersonnel Part 1</w:t>
            </w:r>
          </w:p>
        </w:tc>
        <w:tc>
          <w:tcPr>
            <w:tcW w:w="6660" w:type="dxa"/>
            <w:shd w:val="clear" w:color="auto" w:fill="auto"/>
            <w:vAlign w:val="center"/>
          </w:tcPr>
          <w:p w14:paraId="46055424" w14:textId="5647F7B4" w:rsidR="00F43FAE" w:rsidRPr="00AA72DB" w:rsidRDefault="00354328" w:rsidP="00354328">
            <w:pPr>
              <w:jc w:val="left"/>
            </w:pPr>
            <w:r>
              <w:t>In part 1 of our series on appointing personnel, we will discuss the the kinds of personnel that are appointed to grants, the different kinds of pay, fringe benefits, and how people show up in Workday.</w:t>
            </w:r>
          </w:p>
        </w:tc>
      </w:tr>
      <w:tr w:rsidR="00F43FAE" w14:paraId="5C5FFE12" w14:textId="77777777" w:rsidTr="00374C26">
        <w:tc>
          <w:tcPr>
            <w:tcW w:w="1327" w:type="dxa"/>
            <w:shd w:val="clear" w:color="auto" w:fill="auto"/>
            <w:vAlign w:val="center"/>
          </w:tcPr>
          <w:p w14:paraId="533D8688" w14:textId="5D2BEEB0" w:rsidR="00F43FAE" w:rsidRPr="006D703D" w:rsidRDefault="00E502EF" w:rsidP="00F43FAE">
            <w:pPr>
              <w:jc w:val="left"/>
            </w:pPr>
            <w:r>
              <w:t>11/13/24</w:t>
            </w:r>
          </w:p>
        </w:tc>
        <w:tc>
          <w:tcPr>
            <w:tcW w:w="900" w:type="dxa"/>
            <w:shd w:val="clear" w:color="auto" w:fill="auto"/>
            <w:vAlign w:val="center"/>
          </w:tcPr>
          <w:p w14:paraId="7A5EEDD0" w14:textId="14E0ECD6" w:rsidR="00F43FAE" w:rsidRPr="006D703D" w:rsidRDefault="00E502EF" w:rsidP="00F43FAE">
            <w:pPr>
              <w:jc w:val="left"/>
            </w:pPr>
            <w:r>
              <w:t>9:00-10:00</w:t>
            </w:r>
          </w:p>
        </w:tc>
        <w:tc>
          <w:tcPr>
            <w:tcW w:w="1890" w:type="dxa"/>
            <w:shd w:val="clear" w:color="auto" w:fill="auto"/>
            <w:vAlign w:val="center"/>
          </w:tcPr>
          <w:p w14:paraId="26D63FAC" w14:textId="5144EA92" w:rsidR="00F43FAE" w:rsidRPr="006D703D" w:rsidRDefault="00A76B91" w:rsidP="00F43FAE">
            <w:pPr>
              <w:jc w:val="left"/>
            </w:pPr>
            <w:r>
              <w:t>Appointing P</w:t>
            </w:r>
            <w:r w:rsidR="00340CAD">
              <w:t>ersonnel Part 2</w:t>
            </w:r>
          </w:p>
        </w:tc>
        <w:tc>
          <w:tcPr>
            <w:tcW w:w="6660" w:type="dxa"/>
            <w:shd w:val="clear" w:color="auto" w:fill="auto"/>
            <w:vAlign w:val="center"/>
          </w:tcPr>
          <w:p w14:paraId="04556DBF" w14:textId="4129C8E5" w:rsidR="00F43FAE" w:rsidRDefault="00890DBA" w:rsidP="00890DBA">
            <w:pPr>
              <w:jc w:val="left"/>
            </w:pPr>
            <w:r>
              <w:t>In part 2 of our series on a</w:t>
            </w:r>
            <w:r w:rsidR="00F43FAE">
              <w:t xml:space="preserve">ppointing </w:t>
            </w:r>
            <w:r>
              <w:t>personnel, we will review how to appoint people to grants in Workday.</w:t>
            </w:r>
          </w:p>
        </w:tc>
      </w:tr>
      <w:tr w:rsidR="00F43FAE" w14:paraId="67FE3E7B" w14:textId="77777777" w:rsidTr="00374C26">
        <w:tc>
          <w:tcPr>
            <w:tcW w:w="1327" w:type="dxa"/>
            <w:shd w:val="clear" w:color="auto" w:fill="auto"/>
            <w:vAlign w:val="center"/>
          </w:tcPr>
          <w:p w14:paraId="46C2851B" w14:textId="1B3248B8" w:rsidR="00F43FAE" w:rsidRPr="006D703D" w:rsidRDefault="00E502EF" w:rsidP="00F43FAE">
            <w:pPr>
              <w:jc w:val="left"/>
            </w:pPr>
            <w:r>
              <w:t>11/20/24</w:t>
            </w:r>
          </w:p>
        </w:tc>
        <w:tc>
          <w:tcPr>
            <w:tcW w:w="900" w:type="dxa"/>
            <w:shd w:val="clear" w:color="auto" w:fill="auto"/>
            <w:vAlign w:val="center"/>
          </w:tcPr>
          <w:p w14:paraId="2F793D2B" w14:textId="51DCD892" w:rsidR="00F43FAE" w:rsidRPr="006D703D" w:rsidRDefault="00E502EF" w:rsidP="00F43FAE">
            <w:pPr>
              <w:jc w:val="left"/>
            </w:pPr>
            <w:r>
              <w:t>9:00-10:00</w:t>
            </w:r>
          </w:p>
        </w:tc>
        <w:tc>
          <w:tcPr>
            <w:tcW w:w="1890" w:type="dxa"/>
            <w:shd w:val="clear" w:color="auto" w:fill="auto"/>
            <w:vAlign w:val="center"/>
          </w:tcPr>
          <w:p w14:paraId="592C64B9" w14:textId="621F4EC6" w:rsidR="00F43FAE" w:rsidRPr="006D703D" w:rsidRDefault="00A76B91" w:rsidP="00F43FAE">
            <w:pPr>
              <w:jc w:val="left"/>
            </w:pPr>
            <w:r>
              <w:t>Appointing P</w:t>
            </w:r>
            <w:r w:rsidR="00340CAD">
              <w:t>ersonnel Part 3</w:t>
            </w:r>
          </w:p>
        </w:tc>
        <w:tc>
          <w:tcPr>
            <w:tcW w:w="6660" w:type="dxa"/>
            <w:shd w:val="clear" w:color="auto" w:fill="auto"/>
            <w:vAlign w:val="center"/>
          </w:tcPr>
          <w:p w14:paraId="1720FFB3" w14:textId="40339D54" w:rsidR="00F43FAE" w:rsidRPr="00CB65F6" w:rsidRDefault="00890DBA" w:rsidP="00890DBA">
            <w:pPr>
              <w:jc w:val="left"/>
            </w:pPr>
            <w:r>
              <w:t>In part 3 of our series on appointing personnel, we will discuss c</w:t>
            </w:r>
            <w:r w:rsidR="00F43FAE">
              <w:t>orrecting appointments on grants</w:t>
            </w:r>
            <w:r>
              <w:t xml:space="preserve"> in Workday.</w:t>
            </w:r>
          </w:p>
        </w:tc>
      </w:tr>
      <w:tr w:rsidR="006E7D60" w:rsidRPr="00675CD3" w14:paraId="75C9E408" w14:textId="77777777" w:rsidTr="003A7825">
        <w:trPr>
          <w:trHeight w:val="1367"/>
        </w:trPr>
        <w:tc>
          <w:tcPr>
            <w:tcW w:w="1327" w:type="dxa"/>
            <w:shd w:val="clear" w:color="auto" w:fill="auto"/>
            <w:vAlign w:val="center"/>
          </w:tcPr>
          <w:p w14:paraId="550BB6FA" w14:textId="1AB537ED" w:rsidR="006E7D60" w:rsidRPr="00207F45" w:rsidRDefault="006E7D60" w:rsidP="006E7D60">
            <w:pPr>
              <w:jc w:val="left"/>
            </w:pPr>
            <w:r>
              <w:lastRenderedPageBreak/>
              <w:t>12/4/24</w:t>
            </w:r>
          </w:p>
        </w:tc>
        <w:tc>
          <w:tcPr>
            <w:tcW w:w="900" w:type="dxa"/>
            <w:shd w:val="clear" w:color="auto" w:fill="auto"/>
            <w:vAlign w:val="center"/>
          </w:tcPr>
          <w:p w14:paraId="3D777D1F" w14:textId="10FC25E7" w:rsidR="006E7D60" w:rsidRPr="00207F45" w:rsidRDefault="006E7D60" w:rsidP="006E7D60">
            <w:pPr>
              <w:jc w:val="left"/>
            </w:pPr>
            <w:r>
              <w:t>2:00-3:00</w:t>
            </w:r>
          </w:p>
        </w:tc>
        <w:tc>
          <w:tcPr>
            <w:tcW w:w="1890" w:type="dxa"/>
            <w:shd w:val="clear" w:color="auto" w:fill="auto"/>
            <w:vAlign w:val="center"/>
          </w:tcPr>
          <w:p w14:paraId="2C07E21C" w14:textId="3446CA1D" w:rsidR="006E7D60" w:rsidRPr="00207F45" w:rsidRDefault="006E7D60" w:rsidP="006E7D60">
            <w:pPr>
              <w:jc w:val="left"/>
            </w:pPr>
            <w:r w:rsidRPr="005718A7">
              <w:t>Introduction to Office of Secure Research</w:t>
            </w:r>
          </w:p>
        </w:tc>
        <w:tc>
          <w:tcPr>
            <w:tcW w:w="6660" w:type="dxa"/>
            <w:shd w:val="clear" w:color="auto" w:fill="auto"/>
            <w:vAlign w:val="center"/>
          </w:tcPr>
          <w:p w14:paraId="457A0977" w14:textId="5219C486" w:rsidR="006E7D60" w:rsidRPr="00207F45" w:rsidRDefault="006E7D60" w:rsidP="006E7D60">
            <w:pPr>
              <w:jc w:val="left"/>
            </w:pPr>
            <w:r w:rsidRPr="005718A7">
              <w:t>Jim Giuliani, director of the Office of Secure Research, will introduce the office and its role in international research collaborations and engagement, promoting full transparency surrounding all interactions with industry and foreign entities, and the tools OSR offers to ensure that international engagements are compliant with federal requirements. Karly Taylor will also present.</w:t>
            </w:r>
          </w:p>
        </w:tc>
      </w:tr>
      <w:tr w:rsidR="006E7D60" w:rsidRPr="00675CD3" w14:paraId="060EB09E" w14:textId="77777777" w:rsidTr="003A7825">
        <w:trPr>
          <w:trHeight w:val="1367"/>
        </w:trPr>
        <w:tc>
          <w:tcPr>
            <w:tcW w:w="1327" w:type="dxa"/>
            <w:shd w:val="clear" w:color="auto" w:fill="auto"/>
            <w:vAlign w:val="center"/>
          </w:tcPr>
          <w:p w14:paraId="41731688" w14:textId="226D31BC" w:rsidR="006E7D60" w:rsidRDefault="006E7D60" w:rsidP="006E7D60">
            <w:pPr>
              <w:jc w:val="left"/>
            </w:pPr>
            <w:r w:rsidRPr="00207F45">
              <w:t>12/18/24</w:t>
            </w:r>
          </w:p>
        </w:tc>
        <w:tc>
          <w:tcPr>
            <w:tcW w:w="900" w:type="dxa"/>
            <w:shd w:val="clear" w:color="auto" w:fill="auto"/>
            <w:vAlign w:val="center"/>
          </w:tcPr>
          <w:p w14:paraId="773438CB" w14:textId="749F2609" w:rsidR="006E7D60" w:rsidRPr="00207F45" w:rsidRDefault="006E7D60" w:rsidP="006E7D60">
            <w:pPr>
              <w:jc w:val="left"/>
            </w:pPr>
            <w:r w:rsidRPr="00207F45">
              <w:t>10:00-11:30</w:t>
            </w:r>
          </w:p>
        </w:tc>
        <w:tc>
          <w:tcPr>
            <w:tcW w:w="1890" w:type="dxa"/>
            <w:shd w:val="clear" w:color="auto" w:fill="auto"/>
            <w:vAlign w:val="center"/>
          </w:tcPr>
          <w:p w14:paraId="2973B856" w14:textId="188328E6" w:rsidR="006E7D60" w:rsidRPr="00207F45" w:rsidRDefault="006E7D60" w:rsidP="006E7D60">
            <w:pPr>
              <w:jc w:val="left"/>
            </w:pPr>
            <w:r w:rsidRPr="00207F45">
              <w:t>An Overview of Compliance Issues in Sponsored Programs</w:t>
            </w:r>
          </w:p>
        </w:tc>
        <w:tc>
          <w:tcPr>
            <w:tcW w:w="6660" w:type="dxa"/>
            <w:shd w:val="clear" w:color="auto" w:fill="auto"/>
            <w:vAlign w:val="center"/>
          </w:tcPr>
          <w:p w14:paraId="577386FE" w14:textId="6A42DEE0" w:rsidR="006E7D60" w:rsidRPr="00207F45" w:rsidRDefault="006E7D60" w:rsidP="006E7D60">
            <w:pPr>
              <w:jc w:val="left"/>
            </w:pPr>
            <w:r w:rsidRPr="00207F45">
              <w:t>Time and effort certification, common missteps in program management, recognizing red flags and handling appropriately and professionally</w:t>
            </w:r>
          </w:p>
        </w:tc>
      </w:tr>
      <w:tr w:rsidR="006E7D60" w:rsidRPr="00675CD3" w14:paraId="46C5C1D4" w14:textId="77777777" w:rsidTr="0052634C">
        <w:trPr>
          <w:trHeight w:val="1367"/>
        </w:trPr>
        <w:tc>
          <w:tcPr>
            <w:tcW w:w="1327" w:type="dxa"/>
            <w:shd w:val="clear" w:color="auto" w:fill="auto"/>
            <w:vAlign w:val="center"/>
          </w:tcPr>
          <w:p w14:paraId="11046144" w14:textId="5EEAA182" w:rsidR="006E7D60" w:rsidRPr="00C17B62" w:rsidRDefault="006E7D60" w:rsidP="006E7D60">
            <w:pPr>
              <w:jc w:val="left"/>
            </w:pPr>
            <w:r>
              <w:t>1/8/25</w:t>
            </w:r>
          </w:p>
        </w:tc>
        <w:tc>
          <w:tcPr>
            <w:tcW w:w="900" w:type="dxa"/>
            <w:shd w:val="clear" w:color="auto" w:fill="auto"/>
            <w:vAlign w:val="center"/>
          </w:tcPr>
          <w:p w14:paraId="70141B7B" w14:textId="77777777" w:rsidR="006E7D60" w:rsidRPr="00C17B62" w:rsidRDefault="006E7D60" w:rsidP="006E7D60">
            <w:pPr>
              <w:jc w:val="left"/>
            </w:pPr>
            <w:r>
              <w:t>9:00-10:00</w:t>
            </w:r>
          </w:p>
        </w:tc>
        <w:tc>
          <w:tcPr>
            <w:tcW w:w="1890" w:type="dxa"/>
            <w:shd w:val="clear" w:color="auto" w:fill="auto"/>
            <w:vAlign w:val="center"/>
          </w:tcPr>
          <w:p w14:paraId="4E6F3D36" w14:textId="7B8CB896" w:rsidR="006E7D60" w:rsidRPr="00C17B62" w:rsidRDefault="006E7D60" w:rsidP="006E7D60">
            <w:pPr>
              <w:jc w:val="left"/>
            </w:pPr>
            <w:r w:rsidRPr="00C17B62">
              <w:t>Graduate Fee Authorizations for Grants Manager</w:t>
            </w:r>
            <w:r w:rsidR="00223E2C">
              <w:t>s</w:t>
            </w:r>
          </w:p>
        </w:tc>
        <w:tc>
          <w:tcPr>
            <w:tcW w:w="6660" w:type="dxa"/>
            <w:shd w:val="clear" w:color="auto" w:fill="auto"/>
            <w:vAlign w:val="center"/>
          </w:tcPr>
          <w:p w14:paraId="1C8C2074" w14:textId="4CC93B09" w:rsidR="006E7D60" w:rsidRPr="00E70E4E" w:rsidRDefault="006E7D60" w:rsidP="006E7D60">
            <w:pPr>
              <w:jc w:val="left"/>
            </w:pPr>
            <w:r w:rsidRPr="00C17B62">
              <w:t>Learn what a graduate fee authorization is, the components of graduate student tuition, how to appoint graduate students to ensure their GFA is charged correctly, and how the reimbursement process works for non-resident fees. The interaction with grants will be emphasized.</w:t>
            </w:r>
          </w:p>
        </w:tc>
      </w:tr>
      <w:tr w:rsidR="006E7D60" w:rsidRPr="00675CD3" w14:paraId="15E45A36" w14:textId="77777777" w:rsidTr="00E03803">
        <w:trPr>
          <w:trHeight w:val="1367"/>
        </w:trPr>
        <w:tc>
          <w:tcPr>
            <w:tcW w:w="1327" w:type="dxa"/>
            <w:shd w:val="clear" w:color="auto" w:fill="auto"/>
            <w:vAlign w:val="center"/>
          </w:tcPr>
          <w:p w14:paraId="74223BFB" w14:textId="755B5B44" w:rsidR="006E7D60" w:rsidRDefault="006E7D60" w:rsidP="006E7D60">
            <w:pPr>
              <w:jc w:val="left"/>
            </w:pPr>
            <w:r>
              <w:t>1/23/25</w:t>
            </w:r>
          </w:p>
        </w:tc>
        <w:tc>
          <w:tcPr>
            <w:tcW w:w="900" w:type="dxa"/>
            <w:shd w:val="clear" w:color="auto" w:fill="auto"/>
            <w:vAlign w:val="center"/>
          </w:tcPr>
          <w:p w14:paraId="60640BEF" w14:textId="04D51FF4" w:rsidR="006E7D60" w:rsidRDefault="006E7D60" w:rsidP="006E7D60">
            <w:pPr>
              <w:jc w:val="left"/>
            </w:pPr>
            <w:r>
              <w:t>1:00-2:30</w:t>
            </w:r>
          </w:p>
        </w:tc>
        <w:tc>
          <w:tcPr>
            <w:tcW w:w="1890" w:type="dxa"/>
            <w:shd w:val="clear" w:color="auto" w:fill="auto"/>
            <w:vAlign w:val="center"/>
          </w:tcPr>
          <w:p w14:paraId="792AC47C" w14:textId="77777777" w:rsidR="006E7D60" w:rsidRDefault="006E7D60" w:rsidP="006E7D60">
            <w:pPr>
              <w:jc w:val="left"/>
            </w:pPr>
            <w:r w:rsidRPr="3124B4D1">
              <w:t>Purchasing on Sponsored Programs</w:t>
            </w:r>
          </w:p>
        </w:tc>
        <w:tc>
          <w:tcPr>
            <w:tcW w:w="6660" w:type="dxa"/>
            <w:shd w:val="clear" w:color="auto" w:fill="auto"/>
            <w:vAlign w:val="center"/>
          </w:tcPr>
          <w:p w14:paraId="78C0C221" w14:textId="29C13D59" w:rsidR="006E7D60" w:rsidRDefault="006E7D60" w:rsidP="006E7D60">
            <w:pPr>
              <w:jc w:val="left"/>
            </w:pPr>
            <w:r w:rsidRPr="3124B4D1">
              <w:t xml:space="preserve">Differences and similarities of purchasing on sponsored programs vs. general funds, basic rules and regulations, human </w:t>
            </w:r>
            <w:r>
              <w:t>participants</w:t>
            </w:r>
            <w:r w:rsidRPr="3124B4D1">
              <w:t>/petty cash, field work</w:t>
            </w:r>
          </w:p>
        </w:tc>
      </w:tr>
      <w:tr w:rsidR="006E7D60" w:rsidRPr="00675CD3" w14:paraId="5ACEDF40" w14:textId="77777777" w:rsidTr="004225B5">
        <w:trPr>
          <w:trHeight w:val="1367"/>
        </w:trPr>
        <w:tc>
          <w:tcPr>
            <w:tcW w:w="1327" w:type="dxa"/>
            <w:shd w:val="clear" w:color="auto" w:fill="auto"/>
            <w:vAlign w:val="center"/>
          </w:tcPr>
          <w:p w14:paraId="6604FA3E" w14:textId="72EA836F" w:rsidR="006E7D60" w:rsidRPr="00E962DE" w:rsidRDefault="006E7D60" w:rsidP="006E7D60">
            <w:pPr>
              <w:jc w:val="left"/>
            </w:pPr>
            <w:r>
              <w:t>2/6/25</w:t>
            </w:r>
          </w:p>
        </w:tc>
        <w:tc>
          <w:tcPr>
            <w:tcW w:w="900" w:type="dxa"/>
            <w:shd w:val="clear" w:color="auto" w:fill="auto"/>
            <w:vAlign w:val="center"/>
          </w:tcPr>
          <w:p w14:paraId="68011262" w14:textId="2B809857" w:rsidR="006E7D60" w:rsidRPr="00E962DE" w:rsidRDefault="006E7D60" w:rsidP="006E7D60">
            <w:pPr>
              <w:jc w:val="left"/>
            </w:pPr>
            <w:r>
              <w:t>1:00-2:30</w:t>
            </w:r>
          </w:p>
        </w:tc>
        <w:tc>
          <w:tcPr>
            <w:tcW w:w="1890" w:type="dxa"/>
            <w:shd w:val="clear" w:color="auto" w:fill="auto"/>
            <w:vAlign w:val="center"/>
          </w:tcPr>
          <w:p w14:paraId="0C2B2F18" w14:textId="77777777" w:rsidR="006E7D60" w:rsidRPr="00E962DE" w:rsidRDefault="006E7D60" w:rsidP="006E7D60">
            <w:pPr>
              <w:jc w:val="left"/>
            </w:pPr>
            <w:proofErr w:type="spellStart"/>
            <w:r w:rsidRPr="00E962DE">
              <w:t>Subawards</w:t>
            </w:r>
            <w:proofErr w:type="spellEnd"/>
          </w:p>
        </w:tc>
        <w:tc>
          <w:tcPr>
            <w:tcW w:w="6660" w:type="dxa"/>
            <w:shd w:val="clear" w:color="auto" w:fill="auto"/>
            <w:vAlign w:val="center"/>
          </w:tcPr>
          <w:p w14:paraId="6FBA5800" w14:textId="173BF9CA" w:rsidR="006E7D60" w:rsidRPr="00E962DE" w:rsidRDefault="006E7D60" w:rsidP="006E7D60">
            <w:pPr>
              <w:jc w:val="left"/>
            </w:pPr>
            <w:r w:rsidRPr="00E962DE">
              <w:t xml:space="preserve">Planning for a </w:t>
            </w:r>
            <w:proofErr w:type="spellStart"/>
            <w:r w:rsidRPr="00E962DE">
              <w:t>subaward</w:t>
            </w:r>
            <w:proofErr w:type="spellEnd"/>
            <w:r w:rsidRPr="00E962DE">
              <w:t xml:space="preserve"> and working with </w:t>
            </w:r>
            <w:proofErr w:type="spellStart"/>
            <w:r w:rsidRPr="00E962DE">
              <w:t>subsites</w:t>
            </w:r>
            <w:proofErr w:type="spellEnd"/>
            <w:r w:rsidRPr="00E962DE">
              <w:t xml:space="preserve"> at every stage. Will cover </w:t>
            </w:r>
            <w:proofErr w:type="spellStart"/>
            <w:r w:rsidRPr="00E962DE">
              <w:t>subaward</w:t>
            </w:r>
            <w:proofErr w:type="spellEnd"/>
            <w:r w:rsidRPr="00E962DE">
              <w:t xml:space="preserve"> initiation, maintenance/monitoring, and closeout.  Topics include determining if the proposed cost is a </w:t>
            </w:r>
            <w:proofErr w:type="spellStart"/>
            <w:r w:rsidRPr="00E962DE">
              <w:t>subaward</w:t>
            </w:r>
            <w:proofErr w:type="spellEnd"/>
            <w:r w:rsidRPr="00E962DE">
              <w:t xml:space="preserve"> or a vendor (or consultant), </w:t>
            </w:r>
            <w:proofErr w:type="spellStart"/>
            <w:r w:rsidRPr="00E962DE">
              <w:t>subaward</w:t>
            </w:r>
            <w:proofErr w:type="spellEnd"/>
            <w:r w:rsidRPr="00E962DE">
              <w:t xml:space="preserve"> proposal forms and budgets, creating/amending supplier contracts, invoice approvals, third-party cost-share, payments to foreign </w:t>
            </w:r>
            <w:proofErr w:type="spellStart"/>
            <w:r w:rsidRPr="00E962DE">
              <w:t>subrecipients</w:t>
            </w:r>
            <w:proofErr w:type="spellEnd"/>
            <w:r w:rsidRPr="00E962DE">
              <w:t xml:space="preserve">, advance payments, and trouble-shooting common problems with </w:t>
            </w:r>
            <w:proofErr w:type="spellStart"/>
            <w:r w:rsidRPr="00E962DE">
              <w:t>subawards</w:t>
            </w:r>
            <w:proofErr w:type="spellEnd"/>
            <w:r w:rsidRPr="00E962DE">
              <w:t>.</w:t>
            </w:r>
          </w:p>
        </w:tc>
      </w:tr>
      <w:tr w:rsidR="006E7D60" w:rsidRPr="00675CD3" w14:paraId="6B1B3E0B" w14:textId="77777777" w:rsidTr="004225B5">
        <w:trPr>
          <w:trHeight w:val="1367"/>
        </w:trPr>
        <w:tc>
          <w:tcPr>
            <w:tcW w:w="1327" w:type="dxa"/>
            <w:shd w:val="clear" w:color="auto" w:fill="auto"/>
            <w:vAlign w:val="center"/>
          </w:tcPr>
          <w:p w14:paraId="58C9C3F5" w14:textId="196A1F35" w:rsidR="006E7D60" w:rsidRDefault="006E7D60" w:rsidP="006E7D60">
            <w:pPr>
              <w:jc w:val="left"/>
            </w:pPr>
            <w:r>
              <w:t>2/11/25</w:t>
            </w:r>
          </w:p>
        </w:tc>
        <w:tc>
          <w:tcPr>
            <w:tcW w:w="900" w:type="dxa"/>
            <w:shd w:val="clear" w:color="auto" w:fill="auto"/>
            <w:vAlign w:val="center"/>
          </w:tcPr>
          <w:p w14:paraId="4F6F83A4" w14:textId="5E6EF5ED" w:rsidR="006E7D60" w:rsidRDefault="006E7D60" w:rsidP="006E7D60">
            <w:pPr>
              <w:jc w:val="left"/>
            </w:pPr>
            <w:r>
              <w:t>9:30-11:00</w:t>
            </w:r>
          </w:p>
        </w:tc>
        <w:tc>
          <w:tcPr>
            <w:tcW w:w="1890" w:type="dxa"/>
            <w:shd w:val="clear" w:color="auto" w:fill="auto"/>
            <w:vAlign w:val="center"/>
          </w:tcPr>
          <w:p w14:paraId="041A0B2A" w14:textId="4C8CD449" w:rsidR="006E7D60" w:rsidRPr="00E962DE" w:rsidRDefault="006E7D60" w:rsidP="006E7D60">
            <w:pPr>
              <w:jc w:val="left"/>
            </w:pPr>
            <w:r w:rsidRPr="00155CBD">
              <w:t>Paying Participants in Research</w:t>
            </w:r>
          </w:p>
        </w:tc>
        <w:tc>
          <w:tcPr>
            <w:tcW w:w="6660" w:type="dxa"/>
            <w:shd w:val="clear" w:color="auto" w:fill="auto"/>
            <w:vAlign w:val="center"/>
          </w:tcPr>
          <w:p w14:paraId="762B02E7" w14:textId="253911BC" w:rsidR="006E7D60" w:rsidRPr="00E962DE" w:rsidRDefault="006E7D60" w:rsidP="006E7D60">
            <w:pPr>
              <w:jc w:val="left"/>
            </w:pPr>
            <w:r>
              <w:t xml:space="preserve">Learn the basics of paying people who choose to participate in research studies, from clinical trials to answering surveys. This session will cover the various methods of paying participants and offer considerations for choosing the most appropriate method for the study at hand. </w:t>
            </w:r>
          </w:p>
        </w:tc>
      </w:tr>
      <w:tr w:rsidR="006E7D60" w:rsidRPr="00675CD3" w14:paraId="6EA0B951" w14:textId="77777777" w:rsidTr="00BC1122">
        <w:trPr>
          <w:trHeight w:val="1137"/>
        </w:trPr>
        <w:tc>
          <w:tcPr>
            <w:tcW w:w="1327" w:type="dxa"/>
            <w:vAlign w:val="center"/>
          </w:tcPr>
          <w:p w14:paraId="7D27AA1B" w14:textId="71568B4F" w:rsidR="006E7D60" w:rsidRDefault="006E7D60" w:rsidP="006E7D60">
            <w:pPr>
              <w:jc w:val="left"/>
            </w:pPr>
            <w:r>
              <w:t>3/6/25</w:t>
            </w:r>
          </w:p>
        </w:tc>
        <w:tc>
          <w:tcPr>
            <w:tcW w:w="900" w:type="dxa"/>
            <w:vAlign w:val="center"/>
          </w:tcPr>
          <w:p w14:paraId="75B5D61A" w14:textId="3A7E2AA5" w:rsidR="006E7D60" w:rsidRDefault="006E7D60" w:rsidP="006E7D60">
            <w:pPr>
              <w:jc w:val="left"/>
            </w:pPr>
            <w:r>
              <w:t>1:00-2:00</w:t>
            </w:r>
          </w:p>
        </w:tc>
        <w:tc>
          <w:tcPr>
            <w:tcW w:w="1890" w:type="dxa"/>
            <w:vAlign w:val="center"/>
          </w:tcPr>
          <w:p w14:paraId="5BE38CDE" w14:textId="77777777" w:rsidR="006E7D60" w:rsidRDefault="006E7D60" w:rsidP="006E7D60">
            <w:pPr>
              <w:jc w:val="left"/>
            </w:pPr>
            <w:r>
              <w:t>Introduction to Entrepreneurship for Research Administrators</w:t>
            </w:r>
          </w:p>
        </w:tc>
        <w:tc>
          <w:tcPr>
            <w:tcW w:w="6660" w:type="dxa"/>
            <w:vAlign w:val="center"/>
          </w:tcPr>
          <w:p w14:paraId="43A0105E" w14:textId="7039B80C" w:rsidR="006E7D60" w:rsidRDefault="006E7D60" w:rsidP="006E7D60">
            <w:pPr>
              <w:jc w:val="left"/>
            </w:pPr>
            <w:r w:rsidRPr="00B02492">
              <w:t xml:space="preserve">Please join us for a conversation with the Keenan Center for Entrepreneurship. Leaders from the Keenan Center </w:t>
            </w:r>
            <w:r>
              <w:t>discuss</w:t>
            </w:r>
            <w:r w:rsidRPr="00B02492">
              <w:t xml:space="preserve"> the educational support and operational resources available to researchers for bringing their technology from the lab to the market.  </w:t>
            </w:r>
            <w:r>
              <w:t>They’</w:t>
            </w:r>
            <w:r w:rsidRPr="00B02492">
              <w:t xml:space="preserve">ll talk about various pathways to commercialization, including when and why </w:t>
            </w:r>
            <w:r>
              <w:t>a</w:t>
            </w:r>
            <w:r w:rsidRPr="00B02492">
              <w:t xml:space="preserve"> pathway could include creating a new company. </w:t>
            </w:r>
            <w:r>
              <w:t>They will also discuss</w:t>
            </w:r>
            <w:r w:rsidRPr="00B02492">
              <w:t xml:space="preserve"> how the Keenan Center can support</w:t>
            </w:r>
            <w:r>
              <w:t xml:space="preserve">s researchers’ </w:t>
            </w:r>
            <w:r w:rsidRPr="00B02492">
              <w:t xml:space="preserve">commercialization and startup </w:t>
            </w:r>
            <w:r>
              <w:t>efforts</w:t>
            </w:r>
            <w:r w:rsidRPr="00B02492">
              <w:t xml:space="preserve">.  </w:t>
            </w:r>
          </w:p>
        </w:tc>
      </w:tr>
      <w:tr w:rsidR="006E7D60" w:rsidRPr="00675CD3" w14:paraId="0C11E241" w14:textId="77777777" w:rsidTr="008E618F">
        <w:trPr>
          <w:trHeight w:val="1137"/>
        </w:trPr>
        <w:tc>
          <w:tcPr>
            <w:tcW w:w="1327" w:type="dxa"/>
            <w:vAlign w:val="center"/>
          </w:tcPr>
          <w:p w14:paraId="1F7E582C" w14:textId="3DE0B2D7" w:rsidR="006E7D60" w:rsidRPr="004559FD" w:rsidRDefault="006E7D60" w:rsidP="006E7D60">
            <w:pPr>
              <w:jc w:val="left"/>
            </w:pPr>
            <w:r w:rsidRPr="004559FD">
              <w:t>3</w:t>
            </w:r>
            <w:r>
              <w:t>/19/25</w:t>
            </w:r>
          </w:p>
        </w:tc>
        <w:tc>
          <w:tcPr>
            <w:tcW w:w="900" w:type="dxa"/>
            <w:vAlign w:val="center"/>
          </w:tcPr>
          <w:p w14:paraId="4D094568" w14:textId="4AABB9E7" w:rsidR="006E7D60" w:rsidRPr="004559FD" w:rsidRDefault="006E7D60" w:rsidP="006E7D60">
            <w:pPr>
              <w:jc w:val="left"/>
            </w:pPr>
            <w:r>
              <w:t>1:00-2:30</w:t>
            </w:r>
          </w:p>
        </w:tc>
        <w:tc>
          <w:tcPr>
            <w:tcW w:w="1890" w:type="dxa"/>
            <w:vAlign w:val="center"/>
          </w:tcPr>
          <w:p w14:paraId="77B8942C" w14:textId="77777777" w:rsidR="006E7D60" w:rsidRPr="0092759B" w:rsidRDefault="006E7D60" w:rsidP="006E7D60">
            <w:pPr>
              <w:jc w:val="left"/>
              <w:rPr>
                <w:highlight w:val="green"/>
              </w:rPr>
            </w:pPr>
            <w:r>
              <w:t xml:space="preserve">Managing Sponsored Programs Awards </w:t>
            </w:r>
          </w:p>
        </w:tc>
        <w:tc>
          <w:tcPr>
            <w:tcW w:w="6660" w:type="dxa"/>
            <w:vAlign w:val="center"/>
          </w:tcPr>
          <w:p w14:paraId="7F1963AD" w14:textId="7E167057" w:rsidR="006E7D60" w:rsidRPr="0092759B" w:rsidRDefault="006E7D60" w:rsidP="006E7D60">
            <w:pPr>
              <w:jc w:val="left"/>
              <w:rPr>
                <w:highlight w:val="green"/>
              </w:rPr>
            </w:pPr>
            <w:r>
              <w:t xml:space="preserve">Learn effective project management by understanding the electronic tools available and regular monitoring activities. </w:t>
            </w:r>
          </w:p>
        </w:tc>
      </w:tr>
      <w:tr w:rsidR="006E7D60" w:rsidRPr="00675CD3" w14:paraId="793BCD80" w14:textId="77777777" w:rsidTr="0018785A">
        <w:trPr>
          <w:trHeight w:val="1367"/>
        </w:trPr>
        <w:tc>
          <w:tcPr>
            <w:tcW w:w="1327" w:type="dxa"/>
            <w:vAlign w:val="center"/>
          </w:tcPr>
          <w:p w14:paraId="4CC92F29" w14:textId="5C1A7564" w:rsidR="006E7D60" w:rsidRDefault="006E7D60" w:rsidP="006E7D60">
            <w:pPr>
              <w:jc w:val="left"/>
            </w:pPr>
            <w:r>
              <w:t>4/1/25</w:t>
            </w:r>
          </w:p>
          <w:p w14:paraId="6303225E" w14:textId="4804DC74" w:rsidR="006E7D60" w:rsidRDefault="006E7D60" w:rsidP="006E7D60">
            <w:pPr>
              <w:jc w:val="left"/>
            </w:pPr>
          </w:p>
        </w:tc>
        <w:tc>
          <w:tcPr>
            <w:tcW w:w="900" w:type="dxa"/>
            <w:vAlign w:val="center"/>
          </w:tcPr>
          <w:p w14:paraId="0A4A5EAC" w14:textId="7C2083EB" w:rsidR="006E7D60" w:rsidRPr="00CE53CA" w:rsidRDefault="006E7D60" w:rsidP="006E7D60">
            <w:pPr>
              <w:jc w:val="left"/>
            </w:pPr>
            <w:r>
              <w:t>2:00-3:00</w:t>
            </w:r>
          </w:p>
        </w:tc>
        <w:tc>
          <w:tcPr>
            <w:tcW w:w="1890" w:type="dxa"/>
            <w:vAlign w:val="center"/>
          </w:tcPr>
          <w:p w14:paraId="621E9CE3" w14:textId="77777777" w:rsidR="006E7D60" w:rsidRPr="00CE53CA" w:rsidRDefault="006E7D60" w:rsidP="006E7D60">
            <w:pPr>
              <w:jc w:val="left"/>
            </w:pPr>
            <w:r w:rsidRPr="00CE53CA">
              <w:t>Introduction to the Office of Research Compliance</w:t>
            </w:r>
          </w:p>
        </w:tc>
        <w:tc>
          <w:tcPr>
            <w:tcW w:w="6660" w:type="dxa"/>
            <w:vAlign w:val="center"/>
          </w:tcPr>
          <w:p w14:paraId="4B759757" w14:textId="6BF9756B" w:rsidR="006E7D60" w:rsidRPr="00962530" w:rsidRDefault="006E7D60" w:rsidP="006E7D60">
            <w:pPr>
              <w:jc w:val="left"/>
            </w:pPr>
            <w:r w:rsidRPr="00962530">
              <w:t xml:space="preserve">Bridget Carruthers and Kelsey Bowers will introduce the Office of Research Compliance, which holds responsibility for conflict of interest, research misconduct, human gene transfer, responsible conduct of research, and research data. </w:t>
            </w:r>
          </w:p>
        </w:tc>
      </w:tr>
      <w:tr w:rsidR="006E7D60" w:rsidRPr="00675CD3" w14:paraId="3ACDDA3D" w14:textId="77777777" w:rsidTr="008410BE">
        <w:trPr>
          <w:trHeight w:val="1137"/>
        </w:trPr>
        <w:tc>
          <w:tcPr>
            <w:tcW w:w="1327" w:type="dxa"/>
            <w:shd w:val="clear" w:color="auto" w:fill="auto"/>
            <w:vAlign w:val="center"/>
          </w:tcPr>
          <w:p w14:paraId="2E3BABFF" w14:textId="1AB97212" w:rsidR="006E7D60" w:rsidRDefault="006E7D60" w:rsidP="006E7D60">
            <w:pPr>
              <w:jc w:val="left"/>
            </w:pPr>
            <w:r>
              <w:lastRenderedPageBreak/>
              <w:t>5/7/25</w:t>
            </w:r>
          </w:p>
        </w:tc>
        <w:tc>
          <w:tcPr>
            <w:tcW w:w="900" w:type="dxa"/>
            <w:shd w:val="clear" w:color="auto" w:fill="auto"/>
            <w:vAlign w:val="center"/>
          </w:tcPr>
          <w:p w14:paraId="42422416" w14:textId="0FE4A97F" w:rsidR="006E7D60" w:rsidRDefault="006E7D60" w:rsidP="006E7D60">
            <w:pPr>
              <w:jc w:val="left"/>
            </w:pPr>
            <w:r>
              <w:t>10:00-11:00</w:t>
            </w:r>
          </w:p>
        </w:tc>
        <w:tc>
          <w:tcPr>
            <w:tcW w:w="1890" w:type="dxa"/>
            <w:shd w:val="clear" w:color="auto" w:fill="auto"/>
            <w:vAlign w:val="center"/>
          </w:tcPr>
          <w:p w14:paraId="7E6F40A5" w14:textId="77777777" w:rsidR="006E7D60" w:rsidRPr="00485CA0" w:rsidRDefault="006E7D60" w:rsidP="006E7D60">
            <w:pPr>
              <w:jc w:val="left"/>
            </w:pPr>
            <w:r w:rsidRPr="007F7A8E">
              <w:t>Introduction to the Office of Responsible Research Practices</w:t>
            </w:r>
          </w:p>
        </w:tc>
        <w:tc>
          <w:tcPr>
            <w:tcW w:w="6660" w:type="dxa"/>
            <w:shd w:val="clear" w:color="auto" w:fill="auto"/>
            <w:vAlign w:val="center"/>
          </w:tcPr>
          <w:p w14:paraId="0D100649" w14:textId="457E5616" w:rsidR="006E7D60" w:rsidRPr="00485CA0" w:rsidRDefault="006E7D60" w:rsidP="006E7D60">
            <w:pPr>
              <w:jc w:val="left"/>
            </w:pPr>
            <w:r w:rsidRPr="007F7A8E">
              <w:t>Ellen Patricia, Director of the Office of Responsible Research Practices, will introduce her office’s mission supporting the ethics boards and helping the research community navigate requirements. Sandra Meadows will provide education and updates on human participants in research.</w:t>
            </w:r>
          </w:p>
        </w:tc>
      </w:tr>
      <w:tr w:rsidR="006E7D60" w:rsidRPr="00675CD3" w14:paraId="7EF3DD30" w14:textId="77777777" w:rsidTr="00DA5A9D">
        <w:trPr>
          <w:trHeight w:val="1172"/>
        </w:trPr>
        <w:tc>
          <w:tcPr>
            <w:tcW w:w="1327" w:type="dxa"/>
            <w:shd w:val="clear" w:color="auto" w:fill="auto"/>
            <w:vAlign w:val="center"/>
          </w:tcPr>
          <w:p w14:paraId="12ABA532" w14:textId="4528B396" w:rsidR="006E7D60" w:rsidRDefault="006E7D60" w:rsidP="006E7D60">
            <w:pPr>
              <w:jc w:val="left"/>
            </w:pPr>
            <w:r>
              <w:t>5/14/25</w:t>
            </w:r>
          </w:p>
        </w:tc>
        <w:tc>
          <w:tcPr>
            <w:tcW w:w="900" w:type="dxa"/>
            <w:shd w:val="clear" w:color="auto" w:fill="auto"/>
            <w:vAlign w:val="center"/>
          </w:tcPr>
          <w:p w14:paraId="5DED35F8" w14:textId="21B0C9ED" w:rsidR="006E7D60" w:rsidRDefault="006E7D60" w:rsidP="006E7D60">
            <w:pPr>
              <w:jc w:val="left"/>
            </w:pPr>
            <w:r>
              <w:t>10:00-11:00</w:t>
            </w:r>
          </w:p>
        </w:tc>
        <w:tc>
          <w:tcPr>
            <w:tcW w:w="1890" w:type="dxa"/>
            <w:shd w:val="clear" w:color="auto" w:fill="auto"/>
            <w:vAlign w:val="center"/>
          </w:tcPr>
          <w:p w14:paraId="703C5DE2" w14:textId="77777777" w:rsidR="006E7D60" w:rsidRPr="00FB066F" w:rsidRDefault="006E7D60" w:rsidP="006E7D60">
            <w:pPr>
              <w:jc w:val="left"/>
            </w:pPr>
            <w:r w:rsidRPr="00FB066F">
              <w:t>Open Science for Research Administrators</w:t>
            </w:r>
          </w:p>
        </w:tc>
        <w:tc>
          <w:tcPr>
            <w:tcW w:w="6660" w:type="dxa"/>
            <w:shd w:val="clear" w:color="auto" w:fill="auto"/>
            <w:vAlign w:val="center"/>
          </w:tcPr>
          <w:p w14:paraId="56EA8B6E" w14:textId="00E3FB34" w:rsidR="006E7D60" w:rsidRPr="00FB066F" w:rsidRDefault="006E7D60" w:rsidP="006E7D60">
            <w:pPr>
              <w:jc w:val="left"/>
            </w:pPr>
            <w:r w:rsidRPr="00FB066F">
              <w:t>From public access policies to data management and sharing plans to clinical trial registries – the evolving policy landscape of modern research can be overwhelming to navigate. This presentation will provide research administrators with a bird’s eye view of how these requirements fit together as part of a global transition to open science. The presenters from University Libraries will also highlight the resources available to Ohio State researchers and their support teams.</w:t>
            </w:r>
          </w:p>
        </w:tc>
      </w:tr>
    </w:tbl>
    <w:p w14:paraId="2C59E4CA" w14:textId="77777777" w:rsidR="004C0A4A" w:rsidRDefault="004C0A4A" w:rsidP="004C0A4A">
      <w:pPr>
        <w:jc w:val="left"/>
      </w:pPr>
    </w:p>
    <w:sectPr w:rsidR="004C0A4A" w:rsidSect="000B5C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4A"/>
    <w:rsid w:val="000013C0"/>
    <w:rsid w:val="00004836"/>
    <w:rsid w:val="0001424A"/>
    <w:rsid w:val="000367DA"/>
    <w:rsid w:val="00037F31"/>
    <w:rsid w:val="00050394"/>
    <w:rsid w:val="000534B5"/>
    <w:rsid w:val="00057FB0"/>
    <w:rsid w:val="000666A6"/>
    <w:rsid w:val="00067168"/>
    <w:rsid w:val="00072E5C"/>
    <w:rsid w:val="000732DB"/>
    <w:rsid w:val="000A5D89"/>
    <w:rsid w:val="000A6569"/>
    <w:rsid w:val="000A70BE"/>
    <w:rsid w:val="000B5CF5"/>
    <w:rsid w:val="000C0E55"/>
    <w:rsid w:val="000C4F5B"/>
    <w:rsid w:val="000D2043"/>
    <w:rsid w:val="000E1059"/>
    <w:rsid w:val="000F0F15"/>
    <w:rsid w:val="000F11F0"/>
    <w:rsid w:val="0011404F"/>
    <w:rsid w:val="00116C19"/>
    <w:rsid w:val="00133D46"/>
    <w:rsid w:val="001427A8"/>
    <w:rsid w:val="0015164F"/>
    <w:rsid w:val="00155CBD"/>
    <w:rsid w:val="00157A52"/>
    <w:rsid w:val="00160015"/>
    <w:rsid w:val="00160CF2"/>
    <w:rsid w:val="00170F5D"/>
    <w:rsid w:val="00174784"/>
    <w:rsid w:val="001846EB"/>
    <w:rsid w:val="00192465"/>
    <w:rsid w:val="00193A10"/>
    <w:rsid w:val="00194EE6"/>
    <w:rsid w:val="001A4EB4"/>
    <w:rsid w:val="001A6974"/>
    <w:rsid w:val="001B09F6"/>
    <w:rsid w:val="001C0BD5"/>
    <w:rsid w:val="001C0C63"/>
    <w:rsid w:val="001C2C62"/>
    <w:rsid w:val="001C5FF3"/>
    <w:rsid w:val="001C7E32"/>
    <w:rsid w:val="001E304D"/>
    <w:rsid w:val="001E3D29"/>
    <w:rsid w:val="001F05DD"/>
    <w:rsid w:val="00201583"/>
    <w:rsid w:val="00202762"/>
    <w:rsid w:val="00207F45"/>
    <w:rsid w:val="00216EE5"/>
    <w:rsid w:val="00222272"/>
    <w:rsid w:val="00223E2C"/>
    <w:rsid w:val="00233E4D"/>
    <w:rsid w:val="00236EA6"/>
    <w:rsid w:val="00236F96"/>
    <w:rsid w:val="002449F8"/>
    <w:rsid w:val="00245760"/>
    <w:rsid w:val="00254ED7"/>
    <w:rsid w:val="00267B35"/>
    <w:rsid w:val="00275197"/>
    <w:rsid w:val="00283381"/>
    <w:rsid w:val="00287CB0"/>
    <w:rsid w:val="00292445"/>
    <w:rsid w:val="002B1ADC"/>
    <w:rsid w:val="002B4BBF"/>
    <w:rsid w:val="002C6FFA"/>
    <w:rsid w:val="002D4B2A"/>
    <w:rsid w:val="002D5824"/>
    <w:rsid w:val="002D5DCA"/>
    <w:rsid w:val="002E7CB7"/>
    <w:rsid w:val="002F14AD"/>
    <w:rsid w:val="003143A8"/>
    <w:rsid w:val="00315979"/>
    <w:rsid w:val="003214C5"/>
    <w:rsid w:val="00327A27"/>
    <w:rsid w:val="00331D22"/>
    <w:rsid w:val="00340CAD"/>
    <w:rsid w:val="00354328"/>
    <w:rsid w:val="00365710"/>
    <w:rsid w:val="00366824"/>
    <w:rsid w:val="003713EC"/>
    <w:rsid w:val="00374C26"/>
    <w:rsid w:val="00381FBC"/>
    <w:rsid w:val="003B57A9"/>
    <w:rsid w:val="003C730E"/>
    <w:rsid w:val="003D0C3F"/>
    <w:rsid w:val="003D1F9A"/>
    <w:rsid w:val="003F5700"/>
    <w:rsid w:val="00400F42"/>
    <w:rsid w:val="0042322E"/>
    <w:rsid w:val="004274C1"/>
    <w:rsid w:val="004559FD"/>
    <w:rsid w:val="00460A58"/>
    <w:rsid w:val="00461D31"/>
    <w:rsid w:val="004746DB"/>
    <w:rsid w:val="004818CE"/>
    <w:rsid w:val="00485CA0"/>
    <w:rsid w:val="0049642A"/>
    <w:rsid w:val="004B3528"/>
    <w:rsid w:val="004B7702"/>
    <w:rsid w:val="004C0A4A"/>
    <w:rsid w:val="004C1A85"/>
    <w:rsid w:val="004D239F"/>
    <w:rsid w:val="004D6E04"/>
    <w:rsid w:val="004D6ED5"/>
    <w:rsid w:val="004E1D32"/>
    <w:rsid w:val="004E4446"/>
    <w:rsid w:val="004F61B0"/>
    <w:rsid w:val="00520041"/>
    <w:rsid w:val="00535B2F"/>
    <w:rsid w:val="00540640"/>
    <w:rsid w:val="00545DD1"/>
    <w:rsid w:val="0055152C"/>
    <w:rsid w:val="005718A7"/>
    <w:rsid w:val="00591294"/>
    <w:rsid w:val="00591801"/>
    <w:rsid w:val="005A289C"/>
    <w:rsid w:val="005E4FA5"/>
    <w:rsid w:val="005E57A2"/>
    <w:rsid w:val="005F1EA3"/>
    <w:rsid w:val="005F2260"/>
    <w:rsid w:val="006004C5"/>
    <w:rsid w:val="00603C46"/>
    <w:rsid w:val="00606880"/>
    <w:rsid w:val="0061166E"/>
    <w:rsid w:val="00612708"/>
    <w:rsid w:val="00612B54"/>
    <w:rsid w:val="00614F76"/>
    <w:rsid w:val="00634224"/>
    <w:rsid w:val="0064364C"/>
    <w:rsid w:val="00644B33"/>
    <w:rsid w:val="00666CB2"/>
    <w:rsid w:val="00675CD3"/>
    <w:rsid w:val="00683D3B"/>
    <w:rsid w:val="00690E2D"/>
    <w:rsid w:val="006968EC"/>
    <w:rsid w:val="006A0938"/>
    <w:rsid w:val="006B5FFB"/>
    <w:rsid w:val="006B7365"/>
    <w:rsid w:val="006D703D"/>
    <w:rsid w:val="006E30DA"/>
    <w:rsid w:val="006E7D60"/>
    <w:rsid w:val="006F5914"/>
    <w:rsid w:val="006F7E0E"/>
    <w:rsid w:val="007052AC"/>
    <w:rsid w:val="00710794"/>
    <w:rsid w:val="00733E18"/>
    <w:rsid w:val="00772999"/>
    <w:rsid w:val="00780769"/>
    <w:rsid w:val="0079369E"/>
    <w:rsid w:val="007D61C1"/>
    <w:rsid w:val="007D6300"/>
    <w:rsid w:val="007D71F5"/>
    <w:rsid w:val="007E1E21"/>
    <w:rsid w:val="007E3CBA"/>
    <w:rsid w:val="007E42FD"/>
    <w:rsid w:val="007E4BAB"/>
    <w:rsid w:val="007F5CA0"/>
    <w:rsid w:val="007F7A8E"/>
    <w:rsid w:val="00807857"/>
    <w:rsid w:val="00814F66"/>
    <w:rsid w:val="00876C99"/>
    <w:rsid w:val="008776B7"/>
    <w:rsid w:val="0088244D"/>
    <w:rsid w:val="0089017F"/>
    <w:rsid w:val="00890AA2"/>
    <w:rsid w:val="00890DBA"/>
    <w:rsid w:val="008A1AFA"/>
    <w:rsid w:val="008A5078"/>
    <w:rsid w:val="008E0B1F"/>
    <w:rsid w:val="009009B5"/>
    <w:rsid w:val="00913888"/>
    <w:rsid w:val="00921BB6"/>
    <w:rsid w:val="00921F55"/>
    <w:rsid w:val="009236E2"/>
    <w:rsid w:val="0092759B"/>
    <w:rsid w:val="0093154A"/>
    <w:rsid w:val="00945032"/>
    <w:rsid w:val="00947AE0"/>
    <w:rsid w:val="00960C4F"/>
    <w:rsid w:val="00961F4D"/>
    <w:rsid w:val="00962530"/>
    <w:rsid w:val="00966851"/>
    <w:rsid w:val="00967B2D"/>
    <w:rsid w:val="00980588"/>
    <w:rsid w:val="0099336D"/>
    <w:rsid w:val="009A75E6"/>
    <w:rsid w:val="009B2FF7"/>
    <w:rsid w:val="009B6BC1"/>
    <w:rsid w:val="009D3183"/>
    <w:rsid w:val="009D5CCD"/>
    <w:rsid w:val="009E73EE"/>
    <w:rsid w:val="00A0743D"/>
    <w:rsid w:val="00A13BB6"/>
    <w:rsid w:val="00A25804"/>
    <w:rsid w:val="00A34692"/>
    <w:rsid w:val="00A37320"/>
    <w:rsid w:val="00A42FF8"/>
    <w:rsid w:val="00A47EAA"/>
    <w:rsid w:val="00A54415"/>
    <w:rsid w:val="00A6778B"/>
    <w:rsid w:val="00A76B91"/>
    <w:rsid w:val="00AA72DB"/>
    <w:rsid w:val="00AC7120"/>
    <w:rsid w:val="00AD6D63"/>
    <w:rsid w:val="00AD787E"/>
    <w:rsid w:val="00AD7E92"/>
    <w:rsid w:val="00AE1799"/>
    <w:rsid w:val="00AE563F"/>
    <w:rsid w:val="00AE5A3F"/>
    <w:rsid w:val="00B02492"/>
    <w:rsid w:val="00B11517"/>
    <w:rsid w:val="00B15200"/>
    <w:rsid w:val="00B24BC3"/>
    <w:rsid w:val="00B333FC"/>
    <w:rsid w:val="00B50699"/>
    <w:rsid w:val="00B531BB"/>
    <w:rsid w:val="00B568C9"/>
    <w:rsid w:val="00B64654"/>
    <w:rsid w:val="00B659FD"/>
    <w:rsid w:val="00B679FC"/>
    <w:rsid w:val="00B740BC"/>
    <w:rsid w:val="00B80181"/>
    <w:rsid w:val="00B852B5"/>
    <w:rsid w:val="00B866DF"/>
    <w:rsid w:val="00B922DD"/>
    <w:rsid w:val="00B956F6"/>
    <w:rsid w:val="00BB39AC"/>
    <w:rsid w:val="00BB6472"/>
    <w:rsid w:val="00BC0B89"/>
    <w:rsid w:val="00BC3D40"/>
    <w:rsid w:val="00BC490F"/>
    <w:rsid w:val="00BD2113"/>
    <w:rsid w:val="00BD67CE"/>
    <w:rsid w:val="00BE641D"/>
    <w:rsid w:val="00C025A4"/>
    <w:rsid w:val="00C1387A"/>
    <w:rsid w:val="00C1576E"/>
    <w:rsid w:val="00C17B62"/>
    <w:rsid w:val="00C24DEF"/>
    <w:rsid w:val="00C3123D"/>
    <w:rsid w:val="00C41511"/>
    <w:rsid w:val="00C50716"/>
    <w:rsid w:val="00C517D5"/>
    <w:rsid w:val="00C61A61"/>
    <w:rsid w:val="00C65423"/>
    <w:rsid w:val="00C72E98"/>
    <w:rsid w:val="00C9084A"/>
    <w:rsid w:val="00C91511"/>
    <w:rsid w:val="00C96DDC"/>
    <w:rsid w:val="00CA4E6A"/>
    <w:rsid w:val="00CB65F6"/>
    <w:rsid w:val="00CD023E"/>
    <w:rsid w:val="00CD3C40"/>
    <w:rsid w:val="00CE53CA"/>
    <w:rsid w:val="00CE638D"/>
    <w:rsid w:val="00CF2065"/>
    <w:rsid w:val="00D00033"/>
    <w:rsid w:val="00D0130A"/>
    <w:rsid w:val="00D04627"/>
    <w:rsid w:val="00D11043"/>
    <w:rsid w:val="00D15937"/>
    <w:rsid w:val="00D16BC0"/>
    <w:rsid w:val="00D414B4"/>
    <w:rsid w:val="00D4739E"/>
    <w:rsid w:val="00D50A7F"/>
    <w:rsid w:val="00D71EDB"/>
    <w:rsid w:val="00D77584"/>
    <w:rsid w:val="00D77E59"/>
    <w:rsid w:val="00D9211E"/>
    <w:rsid w:val="00D93EBE"/>
    <w:rsid w:val="00DA0F12"/>
    <w:rsid w:val="00DA56CB"/>
    <w:rsid w:val="00DC0879"/>
    <w:rsid w:val="00DC32C0"/>
    <w:rsid w:val="00DD0688"/>
    <w:rsid w:val="00DE06EC"/>
    <w:rsid w:val="00DE7635"/>
    <w:rsid w:val="00E00FBA"/>
    <w:rsid w:val="00E34118"/>
    <w:rsid w:val="00E34E46"/>
    <w:rsid w:val="00E502EF"/>
    <w:rsid w:val="00E5046C"/>
    <w:rsid w:val="00E529C6"/>
    <w:rsid w:val="00E563F4"/>
    <w:rsid w:val="00E70E4E"/>
    <w:rsid w:val="00E83D17"/>
    <w:rsid w:val="00E879D2"/>
    <w:rsid w:val="00E928FA"/>
    <w:rsid w:val="00E962DE"/>
    <w:rsid w:val="00E963B2"/>
    <w:rsid w:val="00E96542"/>
    <w:rsid w:val="00EA054E"/>
    <w:rsid w:val="00ED1240"/>
    <w:rsid w:val="00ED1D7D"/>
    <w:rsid w:val="00ED27F0"/>
    <w:rsid w:val="00EF0900"/>
    <w:rsid w:val="00EF3AE1"/>
    <w:rsid w:val="00EF6AE3"/>
    <w:rsid w:val="00EF7CBC"/>
    <w:rsid w:val="00F01047"/>
    <w:rsid w:val="00F0664F"/>
    <w:rsid w:val="00F17E18"/>
    <w:rsid w:val="00F21589"/>
    <w:rsid w:val="00F3177F"/>
    <w:rsid w:val="00F33689"/>
    <w:rsid w:val="00F409F7"/>
    <w:rsid w:val="00F43FAE"/>
    <w:rsid w:val="00F52200"/>
    <w:rsid w:val="00F64239"/>
    <w:rsid w:val="00F84FBE"/>
    <w:rsid w:val="00F94A05"/>
    <w:rsid w:val="00FB066F"/>
    <w:rsid w:val="00FB2488"/>
    <w:rsid w:val="00FB2D33"/>
    <w:rsid w:val="00FB4E9F"/>
    <w:rsid w:val="00FB6081"/>
    <w:rsid w:val="00FC3B4E"/>
    <w:rsid w:val="00FC5499"/>
    <w:rsid w:val="00FD080B"/>
    <w:rsid w:val="00FD62CF"/>
    <w:rsid w:val="00FF2FEB"/>
    <w:rsid w:val="2C9464E1"/>
    <w:rsid w:val="3124B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3FCF"/>
  <w15:docId w15:val="{112BD964-DBCA-4233-99BA-69B0C6FD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0A4A"/>
    <w:rPr>
      <w:b/>
      <w:bCs/>
    </w:rPr>
  </w:style>
  <w:style w:type="character" w:styleId="CommentReference">
    <w:name w:val="annotation reference"/>
    <w:basedOn w:val="DefaultParagraphFont"/>
    <w:uiPriority w:val="99"/>
    <w:semiHidden/>
    <w:unhideWhenUsed/>
    <w:rsid w:val="00CB65F6"/>
    <w:rPr>
      <w:sz w:val="16"/>
      <w:szCs w:val="16"/>
    </w:rPr>
  </w:style>
  <w:style w:type="paragraph" w:styleId="CommentText">
    <w:name w:val="annotation text"/>
    <w:basedOn w:val="Normal"/>
    <w:link w:val="CommentTextChar"/>
    <w:uiPriority w:val="99"/>
    <w:semiHidden/>
    <w:unhideWhenUsed/>
    <w:rsid w:val="00CB65F6"/>
    <w:rPr>
      <w:sz w:val="20"/>
      <w:szCs w:val="20"/>
    </w:rPr>
  </w:style>
  <w:style w:type="character" w:customStyle="1" w:styleId="CommentTextChar">
    <w:name w:val="Comment Text Char"/>
    <w:basedOn w:val="DefaultParagraphFont"/>
    <w:link w:val="CommentText"/>
    <w:uiPriority w:val="99"/>
    <w:semiHidden/>
    <w:rsid w:val="00CB65F6"/>
    <w:rPr>
      <w:sz w:val="20"/>
      <w:szCs w:val="20"/>
    </w:rPr>
  </w:style>
  <w:style w:type="paragraph" w:styleId="CommentSubject">
    <w:name w:val="annotation subject"/>
    <w:basedOn w:val="CommentText"/>
    <w:next w:val="CommentText"/>
    <w:link w:val="CommentSubjectChar"/>
    <w:uiPriority w:val="99"/>
    <w:semiHidden/>
    <w:unhideWhenUsed/>
    <w:rsid w:val="00CB65F6"/>
    <w:rPr>
      <w:b/>
      <w:bCs/>
    </w:rPr>
  </w:style>
  <w:style w:type="character" w:customStyle="1" w:styleId="CommentSubjectChar">
    <w:name w:val="Comment Subject Char"/>
    <w:basedOn w:val="CommentTextChar"/>
    <w:link w:val="CommentSubject"/>
    <w:uiPriority w:val="99"/>
    <w:semiHidden/>
    <w:rsid w:val="00CB65F6"/>
    <w:rPr>
      <w:b/>
      <w:bCs/>
      <w:sz w:val="20"/>
      <w:szCs w:val="20"/>
    </w:rPr>
  </w:style>
  <w:style w:type="paragraph" w:styleId="BalloonText">
    <w:name w:val="Balloon Text"/>
    <w:basedOn w:val="Normal"/>
    <w:link w:val="BalloonTextChar"/>
    <w:uiPriority w:val="99"/>
    <w:semiHidden/>
    <w:unhideWhenUsed/>
    <w:rsid w:val="00CB6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5F6"/>
    <w:rPr>
      <w:rFonts w:ascii="Segoe UI" w:hAnsi="Segoe UI" w:cs="Segoe UI"/>
      <w:sz w:val="18"/>
      <w:szCs w:val="18"/>
    </w:rPr>
  </w:style>
  <w:style w:type="character" w:styleId="Hyperlink">
    <w:name w:val="Hyperlink"/>
    <w:basedOn w:val="DefaultParagraphFont"/>
    <w:uiPriority w:val="99"/>
    <w:unhideWhenUsed/>
    <w:rsid w:val="002F14AD"/>
    <w:rPr>
      <w:color w:val="0563C1"/>
      <w:u w:val="single"/>
    </w:rPr>
  </w:style>
  <w:style w:type="paragraph" w:customStyle="1" w:styleId="xmsonormal">
    <w:name w:val="x_msonormal"/>
    <w:basedOn w:val="Normal"/>
    <w:rsid w:val="00666CB2"/>
    <w:pPr>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7979">
      <w:bodyDiv w:val="1"/>
      <w:marLeft w:val="0"/>
      <w:marRight w:val="0"/>
      <w:marTop w:val="0"/>
      <w:marBottom w:val="0"/>
      <w:divBdr>
        <w:top w:val="none" w:sz="0" w:space="0" w:color="auto"/>
        <w:left w:val="none" w:sz="0" w:space="0" w:color="auto"/>
        <w:bottom w:val="none" w:sz="0" w:space="0" w:color="auto"/>
        <w:right w:val="none" w:sz="0" w:space="0" w:color="auto"/>
      </w:divBdr>
    </w:div>
    <w:div w:id="307445326">
      <w:bodyDiv w:val="1"/>
      <w:marLeft w:val="0"/>
      <w:marRight w:val="0"/>
      <w:marTop w:val="0"/>
      <w:marBottom w:val="0"/>
      <w:divBdr>
        <w:top w:val="none" w:sz="0" w:space="0" w:color="auto"/>
        <w:left w:val="none" w:sz="0" w:space="0" w:color="auto"/>
        <w:bottom w:val="none" w:sz="0" w:space="0" w:color="auto"/>
        <w:right w:val="none" w:sz="0" w:space="0" w:color="auto"/>
      </w:divBdr>
    </w:div>
    <w:div w:id="574389567">
      <w:bodyDiv w:val="1"/>
      <w:marLeft w:val="0"/>
      <w:marRight w:val="0"/>
      <w:marTop w:val="0"/>
      <w:marBottom w:val="0"/>
      <w:divBdr>
        <w:top w:val="none" w:sz="0" w:space="0" w:color="auto"/>
        <w:left w:val="none" w:sz="0" w:space="0" w:color="auto"/>
        <w:bottom w:val="none" w:sz="0" w:space="0" w:color="auto"/>
        <w:right w:val="none" w:sz="0" w:space="0" w:color="auto"/>
      </w:divBdr>
    </w:div>
    <w:div w:id="639967548">
      <w:bodyDiv w:val="1"/>
      <w:marLeft w:val="0"/>
      <w:marRight w:val="0"/>
      <w:marTop w:val="0"/>
      <w:marBottom w:val="0"/>
      <w:divBdr>
        <w:top w:val="none" w:sz="0" w:space="0" w:color="auto"/>
        <w:left w:val="none" w:sz="0" w:space="0" w:color="auto"/>
        <w:bottom w:val="none" w:sz="0" w:space="0" w:color="auto"/>
        <w:right w:val="none" w:sz="0" w:space="0" w:color="auto"/>
      </w:divBdr>
    </w:div>
    <w:div w:id="876701757">
      <w:bodyDiv w:val="1"/>
      <w:marLeft w:val="0"/>
      <w:marRight w:val="0"/>
      <w:marTop w:val="0"/>
      <w:marBottom w:val="0"/>
      <w:divBdr>
        <w:top w:val="none" w:sz="0" w:space="0" w:color="auto"/>
        <w:left w:val="none" w:sz="0" w:space="0" w:color="auto"/>
        <w:bottom w:val="none" w:sz="0" w:space="0" w:color="auto"/>
        <w:right w:val="none" w:sz="0" w:space="0" w:color="auto"/>
      </w:divBdr>
    </w:div>
    <w:div w:id="1198856213">
      <w:bodyDiv w:val="1"/>
      <w:marLeft w:val="0"/>
      <w:marRight w:val="0"/>
      <w:marTop w:val="0"/>
      <w:marBottom w:val="0"/>
      <w:divBdr>
        <w:top w:val="none" w:sz="0" w:space="0" w:color="auto"/>
        <w:left w:val="none" w:sz="0" w:space="0" w:color="auto"/>
        <w:bottom w:val="none" w:sz="0" w:space="0" w:color="auto"/>
        <w:right w:val="none" w:sz="0" w:space="0" w:color="auto"/>
      </w:divBdr>
    </w:div>
    <w:div w:id="14229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353fa2-138c-485a-97c5-7a43233680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6A18FA16470B4D8B366D9C575F4677" ma:contentTypeVersion="10" ma:contentTypeDescription="Create a new document." ma:contentTypeScope="" ma:versionID="459838f7f627ed2668ba72d2a40c0d44">
  <xsd:schema xmlns:xsd="http://www.w3.org/2001/XMLSchema" xmlns:xs="http://www.w3.org/2001/XMLSchema" xmlns:p="http://schemas.microsoft.com/office/2006/metadata/properties" xmlns:ns3="d8c48132-a159-471f-9cee-307c7b9d296f" xmlns:ns4="23353fa2-138c-485a-97c5-7a4323368006" targetNamespace="http://schemas.microsoft.com/office/2006/metadata/properties" ma:root="true" ma:fieldsID="b2970427d0b1f49c5eedec9423ae4e68" ns3:_="" ns4:_="">
    <xsd:import namespace="d8c48132-a159-471f-9cee-307c7b9d296f"/>
    <xsd:import namespace="23353fa2-138c-485a-97c5-7a43233680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48132-a159-471f-9cee-307c7b9d29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53fa2-138c-485a-97c5-7a43233680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CB7F4-7DF2-43BA-A6E0-DFDE68C978E1}">
  <ds:schemaRefs>
    <ds:schemaRef ds:uri="23353fa2-138c-485a-97c5-7a4323368006"/>
    <ds:schemaRef ds:uri="http://purl.org/dc/terms/"/>
    <ds:schemaRef ds:uri="d8c48132-a159-471f-9cee-307c7b9d296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0BCF508-06B9-40CA-B2C7-0EA2FD3644C1}">
  <ds:schemaRefs>
    <ds:schemaRef ds:uri="http://schemas.microsoft.com/sharepoint/v3/contenttype/forms"/>
  </ds:schemaRefs>
</ds:datastoreItem>
</file>

<file path=customXml/itemProps3.xml><?xml version="1.0" encoding="utf-8"?>
<ds:datastoreItem xmlns:ds="http://schemas.openxmlformats.org/officeDocument/2006/customXml" ds:itemID="{4933EF4A-6D14-4AD5-A9DA-E5ED83EA8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48132-a159-471f-9cee-307c7b9d296f"/>
    <ds:schemaRef ds:uri="23353fa2-138c-485a-97c5-7a4323368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6227E-000E-4501-9BF2-9BBFA300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ciyer</dc:creator>
  <cp:lastModifiedBy>Gengler-Nowak, Karla M.</cp:lastModifiedBy>
  <cp:revision>3</cp:revision>
  <cp:lastPrinted>2014-09-16T17:28:00Z</cp:lastPrinted>
  <dcterms:created xsi:type="dcterms:W3CDTF">2024-08-09T20:26:00Z</dcterms:created>
  <dcterms:modified xsi:type="dcterms:W3CDTF">2024-08-09T20:27:00Z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0x010100A76A18FA16470B4D8B366D9C575F4677</vt:lpwstr>
  </property>
</Properties>
</file>